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 w:cstheme="minorHAnsi"/>
          <w:b/>
          <w:bCs/>
          <w:sz w:val="28"/>
          <w:szCs w:val="28"/>
        </w:rPr>
      </w:pPr>
      <w:r>
        <w:rPr/>
        <w:drawing>
          <wp:inline distT="0" distB="0" distL="0" distR="0">
            <wp:extent cx="1392555" cy="129794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PharmaTimes International Clinical Researcher of the Year 2026</w:t>
      </w:r>
    </w:p>
    <w:p>
      <w:pPr>
        <w:pStyle w:val="Normal"/>
        <w:jc w:val="center"/>
        <w:rPr>
          <w:rFonts w:cs="Calibri" w:cstheme="minorHAnsi"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Stage 2 Challenge – Aspiring and Junior Clinical Research Associate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The job of a Clinical Research Associate is challenging with many, often urgent, priorities to juggle, even when you are at site. It is the responsibility of a Clinical Research Associate to self-manage and organize their time appropriately. Plans frequently have to be adjusted throughout the day. A Clinical Research Associate needs the ability to evaluate accurately each situation/request, and the flexibility to adjust priorities appropriately. 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PART A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You are an ACRA with 3 Studies across 6 Sites.  2 sites are Site Activation Ready, 3 are at EU CTR Regulatory submission stage and 1 site recruiting. 2 need SIVs, 1 needs routine monitoring and 3 need Site Activation Ready support. 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You have training to complete, MVR Reports and FULs to write, Expense Claims to submit, Data Queries to follow up, Essential Documents to reconcile.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Taking your role and responsibilities into account. Discuss how you plan to collaborate with your internal partners. List your priorities and actions that you will take.</w:t>
      </w:r>
    </w:p>
    <w:p>
      <w:pPr>
        <w:pStyle w:val="Normal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jc w:val="both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PART B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You discover that the PI at one site will not be available for the SIV.  Discuss what action you would take.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When writing your essay, please ensure that you cover all the points in the text below, and that it adheres to the following rules: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rPr/>
      </w:pPr>
      <w:r>
        <w:rPr/>
        <w:t xml:space="preserve">Please </w:t>
      </w:r>
      <w:r>
        <w:rPr>
          <w:b/>
          <w:bCs/>
          <w:u w:val="single"/>
        </w:rPr>
        <w:t>do not</w:t>
      </w:r>
      <w:r>
        <w:rPr/>
        <w:t xml:space="preserve"> use Generative AI tools as these entries will be excluded from the competition where suspected or identified.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Maximum 1000 words; this includes all wording in tables, diagrams and bulleted lists (title and repetition of the title at the beginning of your essay, are not included in this count)</w:t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A word count must be included with your submission.</w:t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Essays exceeding the word count will be deemed void by the judges.</w:t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Please present in an essay format (the use of tables, bulleted lists and diagrams are encouraged)</w:t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Please use the free plagiarism checker and include the output with your essay:</w:t>
      </w:r>
    </w:p>
    <w:p>
      <w:pPr>
        <w:pStyle w:val="Normal"/>
        <w:jc w:val="both"/>
        <w:rPr>
          <w:rFonts w:cs="Calibri" w:cstheme="minorHAnsi"/>
          <w:u w:val="single"/>
        </w:rPr>
      </w:pPr>
      <w:hyperlink r:id="rId3" w:tgtFrame="_blank">
        <w:r>
          <w:rPr>
            <w:rStyle w:val="InternetLink"/>
            <w:rFonts w:cs="Calibri" w:cstheme="minorHAnsi"/>
          </w:rPr>
          <w:t>www.plagscan.com</w:t>
        </w:r>
      </w:hyperlink>
      <w:r>
        <w:rPr>
          <w:rFonts w:cs="Calibri" w:cstheme="minorHAnsi"/>
        </w:rPr>
        <w:t> </w:t>
        <w:tab/>
        <w:tab/>
        <w:tab/>
      </w:r>
      <w:hyperlink r:id="rId4" w:tgtFrame="_blank">
        <w:r>
          <w:rPr>
            <w:rStyle w:val="InternetLink"/>
            <w:rFonts w:cs="Calibri" w:cstheme="minorHAnsi"/>
          </w:rPr>
          <w:t>www.plagium.com</w:t>
        </w:r>
      </w:hyperlink>
      <w:r>
        <w:rPr>
          <w:rFonts w:cs="Calibri" w:cstheme="minorHAnsi"/>
        </w:rPr>
        <w:br/>
      </w:r>
      <w:hyperlink r:id="rId5" w:tgtFrame="_blank">
        <w:r>
          <w:rPr>
            <w:rStyle w:val="InternetLink"/>
            <w:rFonts w:cs="Calibri" w:cstheme="minorHAnsi"/>
          </w:rPr>
          <w:t>www.plagtracker.com</w:t>
        </w:r>
      </w:hyperlink>
      <w:r>
        <w:rPr>
          <w:rFonts w:cs="Calibri" w:cstheme="minorHAnsi"/>
        </w:rPr>
        <w:t> </w:t>
        <w:tab/>
        <w:tab/>
        <w:tab/>
      </w:r>
      <w:hyperlink r:id="rId6" w:tgtFrame="_blank">
        <w:r>
          <w:rPr>
            <w:rStyle w:val="InternetLink"/>
            <w:rFonts w:cs="Calibri" w:cstheme="minorHAnsi"/>
          </w:rPr>
          <w:t>www.paperrater.com</w:t>
        </w:r>
      </w:hyperlink>
      <w:r>
        <w:rPr>
          <w:rFonts w:cs="Calibri" w:cstheme="minorHAnsi"/>
        </w:rPr>
        <w:br/>
      </w:r>
      <w:hyperlink r:id="rId7" w:tgtFrame="_blank">
        <w:r>
          <w:rPr>
            <w:rStyle w:val="InternetLink"/>
            <w:rFonts w:cs="Calibri" w:cstheme="minorHAnsi"/>
          </w:rPr>
          <w:t>www.duplichecker.com</w:t>
        </w:r>
      </w:hyperlink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Please do not refer to your name or company within your submission. Your entry should be anonymised. </w:t>
      </w:r>
    </w:p>
    <w:p>
      <w:pPr>
        <w:pStyle w:val="Normal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Word format only (PDF document, will not be accepted)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Completed challenges to be sent to: debbie.tuesley@pharmatimes.com by </w:t>
      </w:r>
      <w:r>
        <w:rPr>
          <w:rFonts w:cs="Calibri" w:cstheme="minorHAnsi"/>
          <w:b/>
          <w:bCs/>
          <w:sz w:val="24"/>
          <w:szCs w:val="24"/>
        </w:rPr>
        <w:t>23rd January</w:t>
      </w:r>
      <w:r>
        <w:rPr>
          <w:rFonts w:cs="Calibri" w:cstheme="minorHAnsi"/>
          <w:bCs/>
          <w:sz w:val="24"/>
          <w:szCs w:val="24"/>
        </w:rPr>
        <w:t xml:space="preserve"> and your covering email must include: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Name:</w:t>
        <w:tab/>
        <w:tab/>
        <w:tab/>
        <w:tab/>
        <w:tab/>
        <w:tab/>
        <w:tab/>
        <w:t xml:space="preserve">Job Title: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Company:</w:t>
        <w:tab/>
        <w:tab/>
        <w:tab/>
        <w:tab/>
        <w:tab/>
        <w:tab/>
        <w:t xml:space="preserve">Email: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Category Entering: </w:t>
        <w:tab/>
        <w:tab/>
        <w:tab/>
        <w:tab/>
        <w:tab/>
        <w:t>Telephone (include country code):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ascii="Calibri;sans-serif" w:hAnsi="Calibri;sans-serif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Entrant’s country (if a team, the country for the team leader):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Clinical Singles finals will be on the 20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March 2026. Please keep this date available. Thank you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134" w:right="1134" w:gutter="0" w:header="709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altName w:val="sans-serif"/>
    <w:charset w:val="01"/>
    <w:family w:val="auto"/>
    <w:pitch w:val="default"/>
  </w:font>
  <w:font w:name="Wingdings">
    <w:charset w:val="01"/>
    <w:family w:val="auto"/>
    <w:pitch w:val="variable"/>
  </w:font>
  <w:font w:name="Courier New">
    <w:charset w:val="01"/>
    <w:family w:val="modern"/>
    <w:pitch w:val="fixed"/>
  </w:font>
  <w:font w:name="Symbol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3810" distL="0" distR="13970" simplePos="0" locked="0" layoutInCell="0" allowOverlap="1" relativeHeight="4" wp14:anchorId="2A0A8EA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6555"/>
              <wp:effectExtent l="635" t="635" r="0" b="0"/>
              <wp:wrapNone/>
              <wp:docPr id="2" name="Text Box 2" descr="Proprietary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6880" cy="37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eastAsia="Calibri"/>
                              <w:color w:val="00B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lIns="254160" rIns="0" tIns="19044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0pt;margin-top:0pt;width:75.3pt;height:29.6pt;mso-wrap-style:none;v-text-anchor:top;mso-position-horizontal:left;mso-position-horizontal-relative:page;mso-position-vertical:top;mso-position-vertical-relative:page" wp14:anchorId="2A0A8EA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eastAsia="Calibri"/>
                        <w:color w:val="00B294"/>
                        <w:sz w:val="24"/>
                        <w:szCs w:val="24"/>
                      </w:rPr>
                    </w:pPr>
                    <w:r>
                      <w:rPr>
                        <w:rFonts w:eastAsia="Calibri"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3810" distL="0" distR="13970" simplePos="0" locked="0" layoutInCell="0" allowOverlap="1" relativeHeight="7" wp14:anchorId="13B44D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5285"/>
              <wp:effectExtent l="635" t="635" r="0" b="0"/>
              <wp:wrapNone/>
              <wp:docPr id="4" name="Text Box 3" descr="Proprietary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6880" cy="37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eastAsia="Calibri"/>
                              <w:color w:val="00B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lIns="254160" rIns="0" tIns="19044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0pt;margin-top:0pt;width:75.3pt;height:29.5pt;mso-wrap-style:none;v-text-anchor:top;mso-position-horizontal:left;mso-position-horizontal-relative:page;mso-position-vertical:top;mso-position-vertical-relative:page" wp14:anchorId="13B44D9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eastAsia="Calibri"/>
                        <w:color w:val="00B294"/>
                        <w:sz w:val="24"/>
                        <w:szCs w:val="24"/>
                      </w:rPr>
                    </w:pPr>
                    <w:r>
                      <w:rPr>
                        <w:rFonts w:eastAsia="Calibri"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3810" distL="0" distR="13970" simplePos="0" locked="0" layoutInCell="0" allowOverlap="1" relativeHeight="7" wp14:anchorId="13B44D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5285"/>
              <wp:effectExtent l="635" t="635" r="0" b="0"/>
              <wp:wrapNone/>
              <wp:docPr id="6" name="Text Box 3" descr="Proprietary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6880" cy="37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eastAsia="Calibri"/>
                              <w:color w:val="00B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lIns="254160" rIns="0" tIns="19044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0pt;margin-top:0pt;width:75.3pt;height:29.5pt;mso-wrap-style:none;v-text-anchor:top;mso-position-horizontal:left;mso-position-horizontal-relative:page;mso-position-vertical:top;mso-position-vertical-relative:page" wp14:anchorId="13B44D9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eastAsia="Calibri"/>
                        <w:color w:val="00B294"/>
                        <w:sz w:val="24"/>
                        <w:szCs w:val="24"/>
                      </w:rPr>
                    </w:pPr>
                    <w:r>
                      <w:rPr>
                        <w:rFonts w:eastAsia="Calibri"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08f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066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660fb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26833"/>
    <w:rPr>
      <w:rFonts w:ascii="Calibri" w:hAnsi="Calibri" w:cs="Calibri"/>
      <w:lang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8308f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26833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lagscan.com/" TargetMode="External"/><Relationship Id="rId4" Type="http://schemas.openxmlformats.org/officeDocument/2006/relationships/hyperlink" Target="http://www.plagium.com/" TargetMode="External"/><Relationship Id="rId5" Type="http://schemas.openxmlformats.org/officeDocument/2006/relationships/hyperlink" Target="http://www.plagtracker.com/" TargetMode="External"/><Relationship Id="rId6" Type="http://schemas.openxmlformats.org/officeDocument/2006/relationships/hyperlink" Target="https://www.paperrater.com/" TargetMode="External"/><Relationship Id="rId7" Type="http://schemas.openxmlformats.org/officeDocument/2006/relationships/hyperlink" Target="https://www.duplichecker.com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LibreOffice/7.5.3.2$MacOSX_X86_64 LibreOffice_project/9f56dff12ba03b9acd7730a5a481eea045e468f3</Application>
  <AppVersion>15.0000</AppVersion>
  <Pages>2</Pages>
  <Words>422</Words>
  <Characters>2238</Characters>
  <CharactersWithSpaces>2658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2025-08-31T20:15:00Z</dcterms:created>
  <dc:creator>Debbie Tuesley</dc:creator>
  <dc:description/>
  <dc:language>en-GB</dc:language>
  <cp:lastModifiedBy/>
  <dcterms:modified xsi:type="dcterms:W3CDTF">2025-11-25T16:23:28Z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#00b294,12,Calibri</vt:lpwstr>
  </property>
  <property fmtid="{D5CDD505-2E9C-101B-9397-08002B2CF9AE}" pid="3" name="ClassificationContentMarkingHeaderShapeIds">
    <vt:lpwstr>6fa34a02,8265fb,75ee8fb4</vt:lpwstr>
  </property>
  <property fmtid="{D5CDD505-2E9C-101B-9397-08002B2CF9AE}" pid="4" name="ClassificationContentMarkingHeaderText">
    <vt:lpwstr>Proprietary</vt:lpwstr>
  </property>
  <property fmtid="{D5CDD505-2E9C-101B-9397-08002B2CF9AE}" pid="5" name="MSIP_Label_927fd646-07cb-4c4e-a107-4e4d6b30ba1b_ActionId">
    <vt:lpwstr>be2aba9a-d77a-4f69-b8d7-4bdfdee159be</vt:lpwstr>
  </property>
  <property fmtid="{D5CDD505-2E9C-101B-9397-08002B2CF9AE}" pid="6" name="MSIP_Label_927fd646-07cb-4c4e-a107-4e4d6b30ba1b_ContentBits">
    <vt:lpwstr>1</vt:lpwstr>
  </property>
  <property fmtid="{D5CDD505-2E9C-101B-9397-08002B2CF9AE}" pid="7" name="MSIP_Label_927fd646-07cb-4c4e-a107-4e4d6b30ba1b_Enabled">
    <vt:lpwstr>true</vt:lpwstr>
  </property>
  <property fmtid="{D5CDD505-2E9C-101B-9397-08002B2CF9AE}" pid="8" name="MSIP_Label_927fd646-07cb-4c4e-a107-4e4d6b30ba1b_Method">
    <vt:lpwstr>Privileged</vt:lpwstr>
  </property>
  <property fmtid="{D5CDD505-2E9C-101B-9397-08002B2CF9AE}" pid="9" name="MSIP_Label_927fd646-07cb-4c4e-a107-4e4d6b30ba1b_Name">
    <vt:lpwstr>927fd646-07cb-4c4e-a107-4e4d6b30ba1b</vt:lpwstr>
  </property>
  <property fmtid="{D5CDD505-2E9C-101B-9397-08002B2CF9AE}" pid="10" name="MSIP_Label_927fd646-07cb-4c4e-a107-4e4d6b30ba1b_SetDate">
    <vt:lpwstr>2025-08-28T23:09:10Z</vt:lpwstr>
  </property>
  <property fmtid="{D5CDD505-2E9C-101B-9397-08002B2CF9AE}" pid="11" name="MSIP_Label_927fd646-07cb-4c4e-a107-4e4d6b30ba1b_SiteId">
    <vt:lpwstr>a00de4ec-48a8-43a6-be74-e31274e2060d</vt:lpwstr>
  </property>
  <property fmtid="{D5CDD505-2E9C-101B-9397-08002B2CF9AE}" pid="12" name="MSIP_Label_927fd646-07cb-4c4e-a107-4e4d6b30ba1b_Tag">
    <vt:lpwstr>10, 0, 1, 1</vt:lpwstr>
  </property>
  <property fmtid="{D5CDD505-2E9C-101B-9397-08002B2CF9AE}" pid="13" name="MSIP_Label_e33fbf10-3297-4327-bf73-27d15f2d6bd0_ActionId">
    <vt:lpwstr>8855a0e0-e258-453d-854c-52f8ef742f6e</vt:lpwstr>
  </property>
  <property fmtid="{D5CDD505-2E9C-101B-9397-08002B2CF9AE}" pid="14" name="MSIP_Label_e33fbf10-3297-4327-bf73-27d15f2d6bd0_ContentBits">
    <vt:lpwstr>0</vt:lpwstr>
  </property>
  <property fmtid="{D5CDD505-2E9C-101B-9397-08002B2CF9AE}" pid="15" name="MSIP_Label_e33fbf10-3297-4327-bf73-27d15f2d6bd0_Enabled">
    <vt:lpwstr>true</vt:lpwstr>
  </property>
  <property fmtid="{D5CDD505-2E9C-101B-9397-08002B2CF9AE}" pid="16" name="MSIP_Label_e33fbf10-3297-4327-bf73-27d15f2d6bd0_Method">
    <vt:lpwstr>Standard</vt:lpwstr>
  </property>
  <property fmtid="{D5CDD505-2E9C-101B-9397-08002B2CF9AE}" pid="17" name="MSIP_Label_e33fbf10-3297-4327-bf73-27d15f2d6bd0_Name">
    <vt:lpwstr>Confidential – Any Recipient Only</vt:lpwstr>
  </property>
  <property fmtid="{D5CDD505-2E9C-101B-9397-08002B2CF9AE}" pid="18" name="MSIP_Label_e33fbf10-3297-4327-bf73-27d15f2d6bd0_SetDate">
    <vt:lpwstr>2023-09-21T17:00:01Z</vt:lpwstr>
  </property>
  <property fmtid="{D5CDD505-2E9C-101B-9397-08002B2CF9AE}" pid="19" name="MSIP_Label_e33fbf10-3297-4327-bf73-27d15f2d6bd0_SiteId">
    <vt:lpwstr>06fe4af5-9412-436c-acdb-444ee0010489</vt:lpwstr>
  </property>
  <property fmtid="{D5CDD505-2E9C-101B-9397-08002B2CF9AE}" pid="20" name="_NewReviewCycle">
    <vt:lpwstr/>
  </property>
</Properties>
</file>